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E406" w14:textId="3BCC24E3" w:rsidR="00016AC9" w:rsidRDefault="00016AC9" w:rsidP="003F1468">
      <w:pPr>
        <w:jc w:val="center"/>
        <w:rPr>
          <w:b/>
          <w:bCs/>
          <w:sz w:val="32"/>
          <w:szCs w:val="32"/>
        </w:rPr>
      </w:pPr>
      <w:proofErr w:type="spellStart"/>
      <w:r w:rsidRPr="003F1468">
        <w:rPr>
          <w:b/>
          <w:bCs/>
          <w:sz w:val="32"/>
          <w:szCs w:val="32"/>
        </w:rPr>
        <w:t>Fibonaccijevi</w:t>
      </w:r>
      <w:proofErr w:type="spellEnd"/>
      <w:r w:rsidRPr="003F1468">
        <w:rPr>
          <w:b/>
          <w:bCs/>
          <w:sz w:val="32"/>
          <w:szCs w:val="32"/>
        </w:rPr>
        <w:t xml:space="preserve"> zadaci 'davanja i uzimanja</w:t>
      </w:r>
      <w:r w:rsidR="003F1468" w:rsidRPr="003F1468">
        <w:rPr>
          <w:b/>
          <w:bCs/>
          <w:sz w:val="32"/>
          <w:szCs w:val="32"/>
        </w:rPr>
        <w:t>'</w:t>
      </w:r>
    </w:p>
    <w:p w14:paraId="6EE1A600" w14:textId="0D3D7A82" w:rsidR="002441DF" w:rsidRPr="003F1468" w:rsidRDefault="003F1468" w:rsidP="00F93C2A">
      <w:pPr>
        <w:jc w:val="center"/>
        <w:rPr>
          <w:b/>
          <w:bCs/>
          <w:sz w:val="24"/>
          <w:szCs w:val="24"/>
        </w:rPr>
      </w:pPr>
      <w:r w:rsidRPr="003F1468">
        <w:rPr>
          <w:b/>
          <w:bCs/>
          <w:sz w:val="24"/>
          <w:szCs w:val="24"/>
        </w:rPr>
        <w:t>Martina Mijić</w:t>
      </w:r>
    </w:p>
    <w:p w14:paraId="2997CF1C" w14:textId="2143CFF3" w:rsidR="00123E65" w:rsidRDefault="002E1F60" w:rsidP="00491393">
      <w:pPr>
        <w:rPr>
          <w:sz w:val="24"/>
          <w:szCs w:val="24"/>
        </w:rPr>
      </w:pPr>
      <w:r w:rsidRPr="003F1468">
        <w:rPr>
          <w:sz w:val="24"/>
          <w:szCs w:val="24"/>
        </w:rPr>
        <w:t xml:space="preserve">Leonardo iz </w:t>
      </w:r>
      <w:proofErr w:type="spellStart"/>
      <w:r w:rsidRPr="003F1468">
        <w:rPr>
          <w:sz w:val="24"/>
          <w:szCs w:val="24"/>
        </w:rPr>
        <w:t>Pise</w:t>
      </w:r>
      <w:proofErr w:type="spellEnd"/>
      <w:r w:rsidRPr="003F1468">
        <w:rPr>
          <w:sz w:val="24"/>
          <w:szCs w:val="24"/>
        </w:rPr>
        <w:t xml:space="preserve">, također poznat kao </w:t>
      </w:r>
      <w:proofErr w:type="spellStart"/>
      <w:r w:rsidRPr="003F1468">
        <w:rPr>
          <w:sz w:val="24"/>
          <w:szCs w:val="24"/>
        </w:rPr>
        <w:t>Fibonacci</w:t>
      </w:r>
      <w:proofErr w:type="spellEnd"/>
      <w:r w:rsidR="00F365DE">
        <w:rPr>
          <w:sz w:val="24"/>
          <w:szCs w:val="24"/>
        </w:rPr>
        <w:t xml:space="preserve"> </w:t>
      </w:r>
      <w:r w:rsidR="00F365DE" w:rsidRPr="00F365DE">
        <w:rPr>
          <w:sz w:val="24"/>
          <w:szCs w:val="24"/>
        </w:rPr>
        <w:t xml:space="preserve">(član/sin obitelji </w:t>
      </w:r>
      <w:proofErr w:type="spellStart"/>
      <w:r w:rsidR="00F365DE" w:rsidRPr="00F365DE">
        <w:rPr>
          <w:sz w:val="24"/>
          <w:szCs w:val="24"/>
        </w:rPr>
        <w:t>Bonacci</w:t>
      </w:r>
      <w:proofErr w:type="spellEnd"/>
      <w:r w:rsidR="00F365DE" w:rsidRPr="00F365DE">
        <w:rPr>
          <w:sz w:val="24"/>
          <w:szCs w:val="24"/>
        </w:rPr>
        <w:t xml:space="preserve">, </w:t>
      </w:r>
      <w:proofErr w:type="spellStart"/>
      <w:r w:rsidR="00F365DE" w:rsidRPr="00F365DE">
        <w:rPr>
          <w:sz w:val="24"/>
          <w:szCs w:val="24"/>
        </w:rPr>
        <w:t>ca</w:t>
      </w:r>
      <w:proofErr w:type="spellEnd"/>
      <w:r w:rsidR="00F365DE" w:rsidRPr="00F365DE">
        <w:rPr>
          <w:sz w:val="24"/>
          <w:szCs w:val="24"/>
        </w:rPr>
        <w:t>. 1170.–1250.)</w:t>
      </w:r>
      <w:r w:rsidRPr="003F1468">
        <w:rPr>
          <w:sz w:val="24"/>
          <w:szCs w:val="24"/>
        </w:rPr>
        <w:t xml:space="preserve">, objavio je svoj Liber Abaci („Knjiga o računanju“) 1202. godine, </w:t>
      </w:r>
      <w:r w:rsidR="006B6B1B">
        <w:rPr>
          <w:sz w:val="24"/>
          <w:szCs w:val="24"/>
        </w:rPr>
        <w:t>te</w:t>
      </w:r>
      <w:r w:rsidRPr="003F1468">
        <w:rPr>
          <w:sz w:val="24"/>
          <w:szCs w:val="24"/>
        </w:rPr>
        <w:t xml:space="preserve"> ponovno u ispravljeno</w:t>
      </w:r>
      <w:r w:rsidR="00491393" w:rsidRPr="003F1468">
        <w:rPr>
          <w:sz w:val="24"/>
          <w:szCs w:val="24"/>
        </w:rPr>
        <w:t xml:space="preserve">m izdanju </w:t>
      </w:r>
      <w:r w:rsidRPr="003F1468">
        <w:rPr>
          <w:sz w:val="24"/>
          <w:szCs w:val="24"/>
        </w:rPr>
        <w:t xml:space="preserve">1228. godine. </w:t>
      </w:r>
      <w:r w:rsidR="00B247B6">
        <w:rPr>
          <w:sz w:val="24"/>
          <w:szCs w:val="24"/>
        </w:rPr>
        <w:t>U</w:t>
      </w:r>
      <w:r w:rsidR="00D0442B" w:rsidRPr="003F1468">
        <w:rPr>
          <w:sz w:val="24"/>
          <w:szCs w:val="24"/>
        </w:rPr>
        <w:t xml:space="preserve"> Liber </w:t>
      </w:r>
      <w:proofErr w:type="spellStart"/>
      <w:r w:rsidR="00D0442B" w:rsidRPr="003F1468">
        <w:rPr>
          <w:sz w:val="24"/>
          <w:szCs w:val="24"/>
        </w:rPr>
        <w:t>Abaciju</w:t>
      </w:r>
      <w:proofErr w:type="spellEnd"/>
      <w:r w:rsidR="00B247B6">
        <w:rPr>
          <w:sz w:val="24"/>
          <w:szCs w:val="24"/>
        </w:rPr>
        <w:t xml:space="preserve"> pojavljuju se</w:t>
      </w:r>
      <w:r w:rsidR="00D0442B" w:rsidRPr="003F1468">
        <w:rPr>
          <w:sz w:val="24"/>
          <w:szCs w:val="24"/>
        </w:rPr>
        <w:t xml:space="preserve"> zada</w:t>
      </w:r>
      <w:r w:rsidR="00B247B6">
        <w:rPr>
          <w:sz w:val="24"/>
          <w:szCs w:val="24"/>
        </w:rPr>
        <w:t>ci</w:t>
      </w:r>
      <w:r w:rsidR="00D0442B" w:rsidRPr="003F1468">
        <w:rPr>
          <w:sz w:val="24"/>
          <w:szCs w:val="24"/>
        </w:rPr>
        <w:t xml:space="preserve"> iz trgovačke računice i zabavne matematike. </w:t>
      </w:r>
      <w:r w:rsidR="00351256" w:rsidRPr="003F1468">
        <w:rPr>
          <w:sz w:val="24"/>
          <w:szCs w:val="24"/>
        </w:rPr>
        <w:t xml:space="preserve">Mnogi </w:t>
      </w:r>
      <w:proofErr w:type="spellStart"/>
      <w:r w:rsidR="00351256" w:rsidRPr="003F1468">
        <w:rPr>
          <w:sz w:val="24"/>
          <w:szCs w:val="24"/>
        </w:rPr>
        <w:t>Fibonaccijevi</w:t>
      </w:r>
      <w:proofErr w:type="spellEnd"/>
      <w:r w:rsidR="00351256" w:rsidRPr="003F1468">
        <w:rPr>
          <w:sz w:val="24"/>
          <w:szCs w:val="24"/>
        </w:rPr>
        <w:t xml:space="preserve"> zadaci su algebarski, odnosno svode se na jednad</w:t>
      </w:r>
      <w:r w:rsidR="00BF47F5">
        <w:rPr>
          <w:sz w:val="24"/>
          <w:szCs w:val="24"/>
        </w:rPr>
        <w:t>ž</w:t>
      </w:r>
      <w:r w:rsidR="00351256" w:rsidRPr="003F1468">
        <w:rPr>
          <w:sz w:val="24"/>
          <w:szCs w:val="24"/>
        </w:rPr>
        <w:t xml:space="preserve">be i sustave jednadžbi. </w:t>
      </w:r>
      <w:r w:rsidR="00D0442B" w:rsidRPr="003F1468">
        <w:rPr>
          <w:sz w:val="24"/>
          <w:szCs w:val="24"/>
        </w:rPr>
        <w:t xml:space="preserve">Jedan od tipa zadataka kojeg </w:t>
      </w:r>
      <w:r w:rsidR="00BF47F5">
        <w:rPr>
          <w:sz w:val="24"/>
          <w:szCs w:val="24"/>
        </w:rPr>
        <w:t xml:space="preserve">u Liber </w:t>
      </w:r>
      <w:proofErr w:type="spellStart"/>
      <w:r w:rsidR="00BF47F5">
        <w:rPr>
          <w:sz w:val="24"/>
          <w:szCs w:val="24"/>
        </w:rPr>
        <w:t>Abaciju</w:t>
      </w:r>
      <w:proofErr w:type="spellEnd"/>
      <w:r w:rsidR="00BF47F5">
        <w:rPr>
          <w:sz w:val="24"/>
          <w:szCs w:val="24"/>
        </w:rPr>
        <w:t xml:space="preserve"> </w:t>
      </w:r>
      <w:r w:rsidR="00D0442B" w:rsidRPr="003F1468">
        <w:rPr>
          <w:sz w:val="24"/>
          <w:szCs w:val="24"/>
        </w:rPr>
        <w:t>nalazimo su zadaci „davanja i uzimanja“</w:t>
      </w:r>
      <w:r w:rsidR="00351256" w:rsidRPr="003F1468">
        <w:rPr>
          <w:sz w:val="24"/>
          <w:szCs w:val="24"/>
        </w:rPr>
        <w:t>.</w:t>
      </w:r>
      <w:r w:rsidR="00F14CD4" w:rsidRPr="003F1468">
        <w:rPr>
          <w:sz w:val="24"/>
          <w:szCs w:val="24"/>
        </w:rPr>
        <w:t xml:space="preserve"> Zadaci tog tipa su praktični zadaci u kojima dvije ili više osob</w:t>
      </w:r>
      <w:r w:rsidR="00123E65" w:rsidRPr="003F1468">
        <w:rPr>
          <w:sz w:val="24"/>
          <w:szCs w:val="24"/>
        </w:rPr>
        <w:t>e</w:t>
      </w:r>
      <w:r w:rsidR="00F14CD4" w:rsidRPr="003F1468">
        <w:rPr>
          <w:sz w:val="24"/>
          <w:szCs w:val="24"/>
        </w:rPr>
        <w:t xml:space="preserve"> razmjenjuju novac (denare) prema zadanim uvjetima. Cilj</w:t>
      </w:r>
      <w:r w:rsidR="00B53202">
        <w:rPr>
          <w:sz w:val="24"/>
          <w:szCs w:val="24"/>
        </w:rPr>
        <w:t xml:space="preserve"> tih</w:t>
      </w:r>
      <w:r w:rsidR="00F14CD4" w:rsidRPr="003F1468">
        <w:rPr>
          <w:sz w:val="24"/>
          <w:szCs w:val="24"/>
        </w:rPr>
        <w:t xml:space="preserve"> zadat</w:t>
      </w:r>
      <w:r w:rsidR="00B53202">
        <w:rPr>
          <w:sz w:val="24"/>
          <w:szCs w:val="24"/>
        </w:rPr>
        <w:t>a</w:t>
      </w:r>
      <w:r w:rsidR="00F14CD4" w:rsidRPr="003F1468">
        <w:rPr>
          <w:sz w:val="24"/>
          <w:szCs w:val="24"/>
        </w:rPr>
        <w:t xml:space="preserve">ka bio je utvrditi koliko je novaca svaka od osoba imala </w:t>
      </w:r>
      <w:r w:rsidR="00B53202">
        <w:rPr>
          <w:sz w:val="24"/>
          <w:szCs w:val="24"/>
        </w:rPr>
        <w:t>prije</w:t>
      </w:r>
      <w:r w:rsidR="00F14CD4" w:rsidRPr="003F1468">
        <w:rPr>
          <w:sz w:val="24"/>
          <w:szCs w:val="24"/>
        </w:rPr>
        <w:t xml:space="preserve"> </w:t>
      </w:r>
      <w:r w:rsidR="00B53202">
        <w:rPr>
          <w:sz w:val="24"/>
          <w:szCs w:val="24"/>
        </w:rPr>
        <w:t>razmjene</w:t>
      </w:r>
      <w:r w:rsidR="00F14CD4" w:rsidRPr="003F1468">
        <w:rPr>
          <w:sz w:val="24"/>
          <w:szCs w:val="24"/>
        </w:rPr>
        <w:t>.</w:t>
      </w:r>
      <w:r w:rsidR="00491393" w:rsidRPr="003F1468">
        <w:rPr>
          <w:sz w:val="24"/>
          <w:szCs w:val="24"/>
        </w:rPr>
        <w:t xml:space="preserve"> </w:t>
      </w:r>
      <w:proofErr w:type="spellStart"/>
      <w:r w:rsidR="00123E65" w:rsidRPr="003F1468">
        <w:rPr>
          <w:sz w:val="24"/>
          <w:szCs w:val="24"/>
        </w:rPr>
        <w:t>Fibonacci</w:t>
      </w:r>
      <w:proofErr w:type="spellEnd"/>
      <w:r w:rsidR="00123E65" w:rsidRPr="003F1468">
        <w:rPr>
          <w:sz w:val="24"/>
          <w:szCs w:val="24"/>
        </w:rPr>
        <w:t xml:space="preserve"> predstavlja 16 problema na temu </w:t>
      </w:r>
      <w:r w:rsidR="00B247B6">
        <w:rPr>
          <w:sz w:val="24"/>
          <w:szCs w:val="24"/>
        </w:rPr>
        <w:t>„</w:t>
      </w:r>
      <w:r w:rsidR="00123E65" w:rsidRPr="003F1468">
        <w:rPr>
          <w:sz w:val="24"/>
          <w:szCs w:val="24"/>
        </w:rPr>
        <w:t xml:space="preserve">davanja i </w:t>
      </w:r>
      <w:r w:rsidR="00B247B6">
        <w:rPr>
          <w:sz w:val="24"/>
          <w:szCs w:val="24"/>
        </w:rPr>
        <w:t>uzimanja“</w:t>
      </w:r>
      <w:r w:rsidR="00DE0D9C">
        <w:rPr>
          <w:sz w:val="24"/>
          <w:szCs w:val="24"/>
        </w:rPr>
        <w:t xml:space="preserve">. </w:t>
      </w:r>
      <w:r w:rsidR="006C5B6F">
        <w:rPr>
          <w:sz w:val="24"/>
          <w:szCs w:val="24"/>
        </w:rPr>
        <w:t xml:space="preserve">Svih 16 zadataka </w:t>
      </w:r>
      <w:r w:rsidR="00DE0D9C">
        <w:rPr>
          <w:sz w:val="24"/>
          <w:szCs w:val="24"/>
        </w:rPr>
        <w:t xml:space="preserve">su </w:t>
      </w:r>
      <w:r w:rsidR="006C5B6F">
        <w:rPr>
          <w:sz w:val="24"/>
          <w:szCs w:val="24"/>
        </w:rPr>
        <w:t>slične</w:t>
      </w:r>
      <w:r w:rsidR="00DE0D9C">
        <w:rPr>
          <w:sz w:val="24"/>
          <w:szCs w:val="24"/>
        </w:rPr>
        <w:t xml:space="preserve"> strukture, </w:t>
      </w:r>
      <w:r w:rsidR="00123E65" w:rsidRPr="003F1468">
        <w:rPr>
          <w:sz w:val="24"/>
          <w:szCs w:val="24"/>
        </w:rPr>
        <w:t>neki uključuju složenije razmjene, a drugi veće skupine ljudi</w:t>
      </w:r>
      <w:r w:rsidR="001D5E83">
        <w:rPr>
          <w:sz w:val="24"/>
          <w:szCs w:val="24"/>
        </w:rPr>
        <w:t xml:space="preserve"> (</w:t>
      </w:r>
      <w:r w:rsidR="00D83883">
        <w:rPr>
          <w:sz w:val="24"/>
          <w:szCs w:val="24"/>
        </w:rPr>
        <w:t>najviše</w:t>
      </w:r>
      <w:r w:rsidR="001D5E83">
        <w:rPr>
          <w:sz w:val="24"/>
          <w:szCs w:val="24"/>
        </w:rPr>
        <w:t xml:space="preserve"> 5)</w:t>
      </w:r>
      <w:r w:rsidR="00123E65" w:rsidRPr="003F1468">
        <w:rPr>
          <w:sz w:val="24"/>
          <w:szCs w:val="24"/>
        </w:rPr>
        <w:t>.</w:t>
      </w:r>
      <w:r w:rsidR="00BF47F5" w:rsidRPr="00BF47F5">
        <w:t xml:space="preserve"> </w:t>
      </w:r>
      <w:r w:rsidR="00B247B6">
        <w:rPr>
          <w:sz w:val="24"/>
          <w:szCs w:val="24"/>
        </w:rPr>
        <w:t xml:space="preserve">Jedan od </w:t>
      </w:r>
      <w:r w:rsidR="006819CA">
        <w:rPr>
          <w:sz w:val="24"/>
          <w:szCs w:val="24"/>
        </w:rPr>
        <w:t>16 z</w:t>
      </w:r>
      <w:r w:rsidR="00B247B6">
        <w:rPr>
          <w:sz w:val="24"/>
          <w:szCs w:val="24"/>
        </w:rPr>
        <w:t>adataka glasi:</w:t>
      </w:r>
    </w:p>
    <w:p w14:paraId="54B88421" w14:textId="77777777" w:rsidR="00E80199" w:rsidRDefault="00B247B6" w:rsidP="00663709">
      <w:pPr>
        <w:spacing w:line="240" w:lineRule="auto"/>
        <w:rPr>
          <w:i/>
          <w:iCs/>
          <w:sz w:val="24"/>
          <w:szCs w:val="24"/>
        </w:rPr>
      </w:pPr>
      <w:r w:rsidRPr="00E80199">
        <w:rPr>
          <w:i/>
          <w:iCs/>
          <w:sz w:val="24"/>
          <w:szCs w:val="24"/>
        </w:rPr>
        <w:t>Dva čovjeka imaju određeni broj denara.</w:t>
      </w:r>
    </w:p>
    <w:p w14:paraId="5139D351" w14:textId="00C3058C" w:rsidR="00B247B6" w:rsidRPr="00E80199" w:rsidRDefault="00B247B6" w:rsidP="00663709">
      <w:pPr>
        <w:spacing w:line="240" w:lineRule="auto"/>
        <w:rPr>
          <w:i/>
          <w:iCs/>
          <w:sz w:val="24"/>
          <w:szCs w:val="24"/>
        </w:rPr>
      </w:pPr>
      <w:r w:rsidRPr="00E80199">
        <w:rPr>
          <w:i/>
          <w:iCs/>
          <w:sz w:val="24"/>
          <w:szCs w:val="24"/>
        </w:rPr>
        <w:t>Ako prvi uzme 7 denara od drugoga, imat će pet puta više nego što će drugome preostati.</w:t>
      </w:r>
    </w:p>
    <w:p w14:paraId="326CA16B" w14:textId="77777777" w:rsidR="00B247B6" w:rsidRPr="00E80199" w:rsidRDefault="00B247B6" w:rsidP="00663709">
      <w:pPr>
        <w:spacing w:line="240" w:lineRule="auto"/>
        <w:rPr>
          <w:i/>
          <w:iCs/>
          <w:sz w:val="24"/>
          <w:szCs w:val="24"/>
        </w:rPr>
      </w:pPr>
      <w:r w:rsidRPr="00E80199">
        <w:rPr>
          <w:i/>
          <w:iCs/>
          <w:sz w:val="24"/>
          <w:szCs w:val="24"/>
        </w:rPr>
        <w:t>Slično tome, ako drugi uzme 5 denara od prvoga, imat će sedam puta više nego što će prvome preostati.</w:t>
      </w:r>
    </w:p>
    <w:p w14:paraId="0C795B4B" w14:textId="77777777" w:rsidR="00B247B6" w:rsidRPr="00E80199" w:rsidRDefault="00B247B6" w:rsidP="00663709">
      <w:pPr>
        <w:spacing w:line="240" w:lineRule="auto"/>
        <w:rPr>
          <w:i/>
          <w:iCs/>
          <w:sz w:val="24"/>
          <w:szCs w:val="24"/>
        </w:rPr>
      </w:pPr>
      <w:r w:rsidRPr="00E80199">
        <w:rPr>
          <w:i/>
          <w:iCs/>
          <w:sz w:val="24"/>
          <w:szCs w:val="24"/>
        </w:rPr>
        <w:t>Koliko denara ima svaki od njih?</w:t>
      </w:r>
    </w:p>
    <w:p w14:paraId="04B0BB96" w14:textId="0B191DF2" w:rsidR="00013B48" w:rsidRDefault="00663709" w:rsidP="00491393">
      <w:pPr>
        <w:rPr>
          <w:sz w:val="24"/>
          <w:szCs w:val="24"/>
        </w:rPr>
      </w:pPr>
      <w:r>
        <w:rPr>
          <w:sz w:val="24"/>
          <w:szCs w:val="24"/>
        </w:rPr>
        <w:t>Danas, možemo zadatak zapisati pomoću sustava linearnih jednadžbi:</w:t>
      </w:r>
    </w:p>
    <w:p w14:paraId="64154B32" w14:textId="1A21DC63" w:rsidR="00663709" w:rsidRPr="00663709" w:rsidRDefault="00663709" w:rsidP="00013B48">
      <w:pPr>
        <w:spacing w:before="24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a+7=5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b-7</m:t>
              </m:r>
            </m:e>
          </m:d>
        </m:oMath>
      </m:oMathPara>
    </w:p>
    <w:p w14:paraId="20DA047F" w14:textId="59223D16" w:rsidR="00663709" w:rsidRPr="006819CA" w:rsidRDefault="00663709" w:rsidP="00491393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b+5=7(a-5)</m:t>
          </m:r>
        </m:oMath>
      </m:oMathPara>
    </w:p>
    <w:p w14:paraId="70ADD435" w14:textId="2F4CF9C0" w:rsidR="00013B48" w:rsidRDefault="006819CA" w:rsidP="00013B48">
      <w:pPr>
        <w:spacing w:before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Rješavanjem sustava, dobivamo iduća rješenja: </w:t>
      </w:r>
    </w:p>
    <w:p w14:paraId="0A4080C6" w14:textId="550CA0EE" w:rsidR="00013B48" w:rsidRPr="006819CA" w:rsidRDefault="006819CA" w:rsidP="00013B48">
      <w:pPr>
        <w:spacing w:before="24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a=7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17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,   b=9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17</m:t>
              </m:r>
            </m:den>
          </m:f>
        </m:oMath>
      </m:oMathPara>
    </w:p>
    <w:p w14:paraId="09F85B08" w14:textId="65050766" w:rsidR="00F93C2A" w:rsidRPr="00F93C2A" w:rsidRDefault="006819CA" w:rsidP="00013B48">
      <w:pPr>
        <w:spacing w:before="240"/>
        <w:rPr>
          <w:sz w:val="24"/>
          <w:szCs w:val="24"/>
        </w:rPr>
      </w:pPr>
      <w:r w:rsidRPr="00BF47F5">
        <w:rPr>
          <w:sz w:val="24"/>
          <w:szCs w:val="24"/>
        </w:rPr>
        <w:t xml:space="preserve">U tim zadacima </w:t>
      </w:r>
      <w:r>
        <w:rPr>
          <w:sz w:val="24"/>
          <w:szCs w:val="24"/>
        </w:rPr>
        <w:t>količina denara</w:t>
      </w:r>
      <w:r w:rsidRPr="00BF47F5">
        <w:rPr>
          <w:sz w:val="24"/>
          <w:szCs w:val="24"/>
        </w:rPr>
        <w:t xml:space="preserve"> obično su izražene </w:t>
      </w:r>
      <w:r>
        <w:rPr>
          <w:sz w:val="24"/>
          <w:szCs w:val="24"/>
        </w:rPr>
        <w:t>„manjim“</w:t>
      </w:r>
      <w:r w:rsidRPr="00BF47F5">
        <w:rPr>
          <w:sz w:val="24"/>
          <w:szCs w:val="24"/>
        </w:rPr>
        <w:t xml:space="preserve"> cjelobrojnim vrijednostima</w:t>
      </w:r>
      <w:r>
        <w:rPr>
          <w:sz w:val="24"/>
          <w:szCs w:val="24"/>
        </w:rPr>
        <w:t>, kao što vidimo u gore spomenutom zadatku.</w:t>
      </w:r>
      <w:r w:rsidR="00DC6C04">
        <w:rPr>
          <w:sz w:val="24"/>
          <w:szCs w:val="24"/>
        </w:rPr>
        <w:t xml:space="preserve"> </w:t>
      </w:r>
      <w:r w:rsidR="00567087">
        <w:rPr>
          <w:sz w:val="24"/>
          <w:szCs w:val="24"/>
        </w:rPr>
        <w:t>Iz tog razloga č</w:t>
      </w:r>
      <w:r w:rsidR="00F563D6">
        <w:rPr>
          <w:sz w:val="24"/>
          <w:szCs w:val="24"/>
        </w:rPr>
        <w:t xml:space="preserve">esto u zadacima „davanja i uzimanja“ </w:t>
      </w:r>
      <w:r>
        <w:rPr>
          <w:sz w:val="24"/>
          <w:szCs w:val="24"/>
        </w:rPr>
        <w:t xml:space="preserve"> dobivena rješenja nisu cjelobrojn</w:t>
      </w:r>
      <w:r w:rsidR="00D057E9">
        <w:rPr>
          <w:sz w:val="24"/>
          <w:szCs w:val="24"/>
        </w:rPr>
        <w:t>a</w:t>
      </w:r>
      <w:r>
        <w:rPr>
          <w:sz w:val="24"/>
          <w:szCs w:val="24"/>
        </w:rPr>
        <w:t>. Time vidimo da su zadaci u</w:t>
      </w:r>
      <w:r w:rsidRPr="00BF47F5">
        <w:rPr>
          <w:sz w:val="24"/>
          <w:szCs w:val="24"/>
        </w:rPr>
        <w:t>glavnom bili osmišljeni</w:t>
      </w:r>
      <w:r>
        <w:rPr>
          <w:sz w:val="24"/>
          <w:szCs w:val="24"/>
        </w:rPr>
        <w:t xml:space="preserve"> prije nego</w:t>
      </w:r>
      <w:r w:rsidR="00260A05">
        <w:rPr>
          <w:sz w:val="24"/>
          <w:szCs w:val="24"/>
        </w:rPr>
        <w:t xml:space="preserve"> što</w:t>
      </w:r>
      <w:r w:rsidRPr="00BF47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Pr="00BF47F5">
        <w:rPr>
          <w:sz w:val="24"/>
          <w:szCs w:val="24"/>
        </w:rPr>
        <w:t>njihovo rješenje</w:t>
      </w:r>
      <w:r>
        <w:rPr>
          <w:sz w:val="24"/>
          <w:szCs w:val="24"/>
        </w:rPr>
        <w:t xml:space="preserve"> bilo poznato.</w:t>
      </w:r>
      <w:r w:rsidR="00F93C2A">
        <w:rPr>
          <w:sz w:val="24"/>
          <w:szCs w:val="24"/>
        </w:rPr>
        <w:t xml:space="preserve"> </w:t>
      </w:r>
      <w:r w:rsidR="00F93C2A" w:rsidRPr="00F93C2A">
        <w:rPr>
          <w:sz w:val="24"/>
          <w:szCs w:val="24"/>
        </w:rPr>
        <w:t xml:space="preserve">Korištenje </w:t>
      </w:r>
      <w:r w:rsidR="00F93C2A">
        <w:rPr>
          <w:sz w:val="24"/>
          <w:szCs w:val="24"/>
        </w:rPr>
        <w:t>„manjih“</w:t>
      </w:r>
      <w:r w:rsidR="00F93C2A" w:rsidRPr="00BF47F5">
        <w:rPr>
          <w:sz w:val="24"/>
          <w:szCs w:val="24"/>
        </w:rPr>
        <w:t xml:space="preserve"> cjelobrojni</w:t>
      </w:r>
      <w:r w:rsidR="00F93C2A">
        <w:rPr>
          <w:sz w:val="24"/>
          <w:szCs w:val="24"/>
        </w:rPr>
        <w:t>h</w:t>
      </w:r>
      <w:r w:rsidR="00F93C2A" w:rsidRPr="00BF47F5">
        <w:rPr>
          <w:sz w:val="24"/>
          <w:szCs w:val="24"/>
        </w:rPr>
        <w:t xml:space="preserve"> vrijednosti</w:t>
      </w:r>
      <w:r w:rsidR="00F93C2A" w:rsidRPr="00F93C2A">
        <w:rPr>
          <w:sz w:val="24"/>
          <w:szCs w:val="24"/>
        </w:rPr>
        <w:t xml:space="preserve"> u tekstu zadatka također </w:t>
      </w:r>
      <w:r w:rsidR="00F93C2A">
        <w:rPr>
          <w:sz w:val="24"/>
          <w:szCs w:val="24"/>
        </w:rPr>
        <w:t>je</w:t>
      </w:r>
      <w:r w:rsidR="00F93C2A" w:rsidRPr="00F93C2A">
        <w:rPr>
          <w:sz w:val="24"/>
          <w:szCs w:val="24"/>
        </w:rPr>
        <w:t xml:space="preserve"> olakša</w:t>
      </w:r>
      <w:r w:rsidR="00F93C2A">
        <w:rPr>
          <w:sz w:val="24"/>
          <w:szCs w:val="24"/>
        </w:rPr>
        <w:t>valo</w:t>
      </w:r>
      <w:r w:rsidR="00F93C2A" w:rsidRPr="00F93C2A">
        <w:rPr>
          <w:sz w:val="24"/>
          <w:szCs w:val="24"/>
        </w:rPr>
        <w:t xml:space="preserve"> pamćenje podataka tijekom postupka rješavanja, dok </w:t>
      </w:r>
      <w:r w:rsidR="00F93C2A">
        <w:rPr>
          <w:sz w:val="24"/>
          <w:szCs w:val="24"/>
        </w:rPr>
        <w:t>je „</w:t>
      </w:r>
      <w:r w:rsidR="00F93C2A" w:rsidRPr="00F93C2A">
        <w:rPr>
          <w:sz w:val="24"/>
          <w:szCs w:val="24"/>
        </w:rPr>
        <w:t>nezgrapno</w:t>
      </w:r>
      <w:r w:rsidR="00F93C2A">
        <w:rPr>
          <w:sz w:val="24"/>
          <w:szCs w:val="24"/>
        </w:rPr>
        <w:t>“</w:t>
      </w:r>
      <w:r w:rsidR="00F93C2A" w:rsidRPr="00F93C2A">
        <w:rPr>
          <w:sz w:val="24"/>
          <w:szCs w:val="24"/>
        </w:rPr>
        <w:t xml:space="preserve"> rješenje </w:t>
      </w:r>
      <w:r w:rsidR="00F93C2A">
        <w:rPr>
          <w:sz w:val="24"/>
          <w:szCs w:val="24"/>
        </w:rPr>
        <w:t>imalo</w:t>
      </w:r>
      <w:r w:rsidR="00F93C2A" w:rsidRPr="00F93C2A">
        <w:rPr>
          <w:sz w:val="24"/>
          <w:szCs w:val="24"/>
        </w:rPr>
        <w:t xml:space="preserve"> prednost u kontekstu izazovnih zadataka</w:t>
      </w:r>
      <w:r w:rsidR="00F93C2A">
        <w:rPr>
          <w:sz w:val="24"/>
          <w:szCs w:val="24"/>
        </w:rPr>
        <w:t>,</w:t>
      </w:r>
      <w:r w:rsidR="00F93C2A" w:rsidRPr="00F93C2A">
        <w:rPr>
          <w:sz w:val="24"/>
          <w:szCs w:val="24"/>
        </w:rPr>
        <w:t xml:space="preserve"> jer </w:t>
      </w:r>
      <w:r w:rsidR="00F93C2A">
        <w:rPr>
          <w:sz w:val="24"/>
          <w:szCs w:val="24"/>
        </w:rPr>
        <w:t>time protivnik nije mogao doći do rješenja pogađanjem.</w:t>
      </w:r>
    </w:p>
    <w:p w14:paraId="6FD9E09A" w14:textId="17C8F54F" w:rsidR="006819CA" w:rsidRPr="00F93C2A" w:rsidRDefault="006819CA" w:rsidP="00491393">
      <w:pPr>
        <w:rPr>
          <w:rFonts w:eastAsiaTheme="minorEastAsia"/>
          <w:sz w:val="28"/>
          <w:szCs w:val="28"/>
        </w:rPr>
      </w:pPr>
    </w:p>
    <w:p w14:paraId="22A36A09" w14:textId="77777777" w:rsidR="00473A2B" w:rsidRDefault="00473A2B" w:rsidP="002E1F60"/>
    <w:p w14:paraId="4AB48FF9" w14:textId="77777777" w:rsidR="005E72A2" w:rsidRDefault="005E72A2" w:rsidP="002E1F60">
      <w:pPr>
        <w:rPr>
          <w:b/>
          <w:bCs/>
          <w:sz w:val="18"/>
          <w:szCs w:val="18"/>
        </w:rPr>
      </w:pPr>
      <w:r w:rsidRPr="005E72A2">
        <w:rPr>
          <w:b/>
          <w:bCs/>
          <w:sz w:val="18"/>
          <w:szCs w:val="18"/>
        </w:rPr>
        <w:t xml:space="preserve">Reference: </w:t>
      </w:r>
    </w:p>
    <w:p w14:paraId="653006E4" w14:textId="530A3C35" w:rsidR="00473A2B" w:rsidRDefault="005E72A2" w:rsidP="005E72A2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5E72A2">
        <w:rPr>
          <w:sz w:val="18"/>
          <w:szCs w:val="18"/>
        </w:rPr>
        <w:t xml:space="preserve">F. M. </w:t>
      </w:r>
      <w:proofErr w:type="spellStart"/>
      <w:r w:rsidRPr="005E72A2">
        <w:rPr>
          <w:sz w:val="18"/>
          <w:szCs w:val="18"/>
        </w:rPr>
        <w:t>BrÜckler</w:t>
      </w:r>
      <w:proofErr w:type="spellEnd"/>
      <w:r w:rsidRPr="005E72A2">
        <w:rPr>
          <w:sz w:val="18"/>
          <w:szCs w:val="18"/>
        </w:rPr>
        <w:t xml:space="preserve"> , Povijest matematike (online skripta, 2026.)</w:t>
      </w:r>
    </w:p>
    <w:p w14:paraId="17F29B1B" w14:textId="51084D86" w:rsidR="005E72A2" w:rsidRPr="00D428FC" w:rsidRDefault="005E72A2" w:rsidP="002E1F60">
      <w:pPr>
        <w:pStyle w:val="Odlomakpopis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J. Hannah, </w:t>
      </w:r>
      <w:proofErr w:type="spellStart"/>
      <w:r w:rsidRPr="005E72A2">
        <w:rPr>
          <w:sz w:val="18"/>
          <w:szCs w:val="18"/>
        </w:rPr>
        <w:t>Conventions</w:t>
      </w:r>
      <w:proofErr w:type="spellEnd"/>
      <w:r w:rsidRPr="005E72A2">
        <w:rPr>
          <w:sz w:val="18"/>
          <w:szCs w:val="18"/>
        </w:rPr>
        <w:t xml:space="preserve"> for </w:t>
      </w:r>
      <w:proofErr w:type="spellStart"/>
      <w:r w:rsidRPr="005E72A2">
        <w:rPr>
          <w:sz w:val="18"/>
          <w:szCs w:val="18"/>
        </w:rPr>
        <w:t>recreational</w:t>
      </w:r>
      <w:proofErr w:type="spellEnd"/>
      <w:r w:rsidRPr="005E72A2">
        <w:rPr>
          <w:sz w:val="18"/>
          <w:szCs w:val="18"/>
        </w:rPr>
        <w:t xml:space="preserve"> </w:t>
      </w:r>
      <w:proofErr w:type="spellStart"/>
      <w:r w:rsidRPr="005E72A2">
        <w:rPr>
          <w:sz w:val="18"/>
          <w:szCs w:val="18"/>
        </w:rPr>
        <w:t>problems</w:t>
      </w:r>
      <w:proofErr w:type="spellEnd"/>
      <w:r w:rsidRPr="005E72A2">
        <w:rPr>
          <w:sz w:val="18"/>
          <w:szCs w:val="18"/>
        </w:rPr>
        <w:t xml:space="preserve"> </w:t>
      </w:r>
      <w:proofErr w:type="spellStart"/>
      <w:r w:rsidRPr="005E72A2">
        <w:rPr>
          <w:sz w:val="18"/>
          <w:szCs w:val="18"/>
        </w:rPr>
        <w:t>in</w:t>
      </w:r>
      <w:proofErr w:type="spellEnd"/>
      <w:r w:rsidRPr="005E72A2">
        <w:rPr>
          <w:sz w:val="18"/>
          <w:szCs w:val="18"/>
        </w:rPr>
        <w:t xml:space="preserve"> </w:t>
      </w:r>
      <w:proofErr w:type="spellStart"/>
      <w:r w:rsidRPr="005E72A2">
        <w:rPr>
          <w:sz w:val="18"/>
          <w:szCs w:val="18"/>
        </w:rPr>
        <w:t>Fibonacci's</w:t>
      </w:r>
      <w:proofErr w:type="spellEnd"/>
      <w:r w:rsidRPr="005E72A2">
        <w:rPr>
          <w:sz w:val="18"/>
          <w:szCs w:val="18"/>
        </w:rPr>
        <w:t xml:space="preserve"> "Liber Abaci</w:t>
      </w:r>
      <w:r>
        <w:rPr>
          <w:sz w:val="18"/>
          <w:szCs w:val="18"/>
        </w:rPr>
        <w:t>“ (</w:t>
      </w:r>
      <w:r w:rsidRPr="005E72A2">
        <w:rPr>
          <w:sz w:val="18"/>
          <w:szCs w:val="18"/>
        </w:rPr>
        <w:t>2011</w:t>
      </w:r>
      <w:r>
        <w:rPr>
          <w:sz w:val="18"/>
          <w:szCs w:val="18"/>
        </w:rPr>
        <w:t>.)</w:t>
      </w:r>
    </w:p>
    <w:sectPr w:rsidR="005E72A2" w:rsidRPr="00D4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544F3"/>
    <w:multiLevelType w:val="hybridMultilevel"/>
    <w:tmpl w:val="B46C2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76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C9"/>
    <w:rsid w:val="00013B48"/>
    <w:rsid w:val="000148C3"/>
    <w:rsid w:val="00016AC9"/>
    <w:rsid w:val="000A559D"/>
    <w:rsid w:val="00123E65"/>
    <w:rsid w:val="001D5E83"/>
    <w:rsid w:val="002066FC"/>
    <w:rsid w:val="002367DF"/>
    <w:rsid w:val="002441DF"/>
    <w:rsid w:val="00260A05"/>
    <w:rsid w:val="002E1F60"/>
    <w:rsid w:val="002F0905"/>
    <w:rsid w:val="002F6C18"/>
    <w:rsid w:val="00351256"/>
    <w:rsid w:val="003E650E"/>
    <w:rsid w:val="003F1468"/>
    <w:rsid w:val="00473A2B"/>
    <w:rsid w:val="00491393"/>
    <w:rsid w:val="004C0D7B"/>
    <w:rsid w:val="00567087"/>
    <w:rsid w:val="005E72A2"/>
    <w:rsid w:val="005F13C8"/>
    <w:rsid w:val="00663709"/>
    <w:rsid w:val="006819CA"/>
    <w:rsid w:val="006B6B1B"/>
    <w:rsid w:val="006C5B6F"/>
    <w:rsid w:val="007E48BA"/>
    <w:rsid w:val="00A34C4E"/>
    <w:rsid w:val="00A51044"/>
    <w:rsid w:val="00AB6E8C"/>
    <w:rsid w:val="00B247B6"/>
    <w:rsid w:val="00B53202"/>
    <w:rsid w:val="00BC48C0"/>
    <w:rsid w:val="00BF47F5"/>
    <w:rsid w:val="00D0442B"/>
    <w:rsid w:val="00D057E9"/>
    <w:rsid w:val="00D05987"/>
    <w:rsid w:val="00D428FC"/>
    <w:rsid w:val="00D83883"/>
    <w:rsid w:val="00DC6C04"/>
    <w:rsid w:val="00DE0D9C"/>
    <w:rsid w:val="00E80199"/>
    <w:rsid w:val="00E8639A"/>
    <w:rsid w:val="00EB3F5E"/>
    <w:rsid w:val="00EC1BA7"/>
    <w:rsid w:val="00F14CD4"/>
    <w:rsid w:val="00F365DE"/>
    <w:rsid w:val="00F563D6"/>
    <w:rsid w:val="00F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A90A"/>
  <w15:chartTrackingRefBased/>
  <w15:docId w15:val="{AD7271BF-74DB-42A8-A117-F31D34A9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AC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AC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A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A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A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A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6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A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6A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AC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AC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6AC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91393"/>
    <w:rPr>
      <w:rFonts w:ascii="Times New Roman" w:hAnsi="Times New Roman" w:cs="Times New Roman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6637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Mitsch</dc:creator>
  <cp:keywords/>
  <dc:description/>
  <cp:lastModifiedBy>Martina Mitsch</cp:lastModifiedBy>
  <cp:revision>39</cp:revision>
  <dcterms:created xsi:type="dcterms:W3CDTF">2026-05-15T17:38:00Z</dcterms:created>
  <dcterms:modified xsi:type="dcterms:W3CDTF">2026-05-18T09:04:00Z</dcterms:modified>
</cp:coreProperties>
</file>